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551F66">
        <w:rPr>
          <w:b/>
          <w:color w:val="0070C0"/>
          <w:sz w:val="36"/>
          <w:szCs w:val="36"/>
        </w:rPr>
        <w:t>September</w:t>
      </w:r>
      <w:r w:rsidR="0017069A">
        <w:rPr>
          <w:b/>
          <w:color w:val="0070C0"/>
          <w:sz w:val="36"/>
          <w:szCs w:val="36"/>
        </w:rPr>
        <w:t xml:space="preserve"> 2017</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71305C" w:rsidP="004C6DB9">
            <w:pPr>
              <w:jc w:val="center"/>
              <w:rPr>
                <w:color w:val="000000" w:themeColor="text1"/>
              </w:rPr>
            </w:pPr>
            <w:r>
              <w:rPr>
                <w:color w:val="000000" w:themeColor="text1"/>
              </w:rPr>
              <w:t>10</w:t>
            </w:r>
          </w:p>
        </w:tc>
        <w:tc>
          <w:tcPr>
            <w:tcW w:w="1907" w:type="dxa"/>
          </w:tcPr>
          <w:p w:rsidR="008A0ABA" w:rsidRDefault="0071305C" w:rsidP="004C6DB9">
            <w:pPr>
              <w:jc w:val="center"/>
              <w:rPr>
                <w:color w:val="000000" w:themeColor="text1"/>
              </w:rPr>
            </w:pPr>
            <w:r>
              <w:rPr>
                <w:color w:val="000000" w:themeColor="text1"/>
              </w:rPr>
              <w:t>11</w:t>
            </w:r>
          </w:p>
        </w:tc>
        <w:tc>
          <w:tcPr>
            <w:tcW w:w="1334" w:type="dxa"/>
          </w:tcPr>
          <w:p w:rsidR="008A0ABA" w:rsidRDefault="0071305C" w:rsidP="00B87B53">
            <w:pPr>
              <w:jc w:val="center"/>
              <w:rPr>
                <w:color w:val="000000" w:themeColor="text1"/>
              </w:rPr>
            </w:pPr>
            <w:r>
              <w:rPr>
                <w:color w:val="000000" w:themeColor="text1"/>
              </w:rPr>
              <w:t>8</w:t>
            </w:r>
          </w:p>
        </w:tc>
        <w:tc>
          <w:tcPr>
            <w:tcW w:w="1907" w:type="dxa"/>
          </w:tcPr>
          <w:p w:rsidR="008A0ABA" w:rsidRDefault="0071305C" w:rsidP="00B87B53">
            <w:pPr>
              <w:jc w:val="center"/>
              <w:rPr>
                <w:color w:val="000000" w:themeColor="text1"/>
              </w:rPr>
            </w:pPr>
            <w:r>
              <w:rPr>
                <w:color w:val="000000" w:themeColor="text1"/>
              </w:rPr>
              <w:t>18</w:t>
            </w:r>
          </w:p>
        </w:tc>
        <w:tc>
          <w:tcPr>
            <w:tcW w:w="1334" w:type="dxa"/>
          </w:tcPr>
          <w:p w:rsidR="008A0ABA" w:rsidRDefault="0071305C" w:rsidP="004C6DB9">
            <w:pPr>
              <w:jc w:val="center"/>
              <w:rPr>
                <w:color w:val="000000" w:themeColor="text1"/>
              </w:rPr>
            </w:pPr>
            <w:r>
              <w:rPr>
                <w:color w:val="000000" w:themeColor="text1"/>
              </w:rPr>
              <w:t>549</w:t>
            </w:r>
          </w:p>
        </w:tc>
        <w:tc>
          <w:tcPr>
            <w:tcW w:w="1716" w:type="dxa"/>
          </w:tcPr>
          <w:p w:rsidR="008A0ABA" w:rsidRDefault="0071305C" w:rsidP="004C6DB9">
            <w:pPr>
              <w:jc w:val="center"/>
              <w:rPr>
                <w:color w:val="000000" w:themeColor="text1"/>
              </w:rPr>
            </w:pPr>
            <w:r>
              <w:rPr>
                <w:color w:val="000000" w:themeColor="text1"/>
              </w:rPr>
              <w:t>1955</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71305C" w:rsidP="009F5434">
      <w:pPr>
        <w:pStyle w:val="Caption"/>
        <w:jc w:val="both"/>
      </w:pPr>
      <w:r>
        <w:rPr>
          <w:noProof/>
          <w:lang w:eastAsia="en-GB"/>
        </w:rPr>
        <w:drawing>
          <wp:inline distT="0" distB="0" distL="0" distR="0" wp14:anchorId="77B2E2A7" wp14:editId="45894FB2">
            <wp:extent cx="6847367" cy="2849526"/>
            <wp:effectExtent l="0" t="0" r="10795"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551F66">
        <w:rPr>
          <w:b/>
          <w:color w:val="1F497D" w:themeColor="text2"/>
          <w:sz w:val="24"/>
          <w:szCs w:val="24"/>
        </w:rPr>
        <w:t>September</w:t>
      </w:r>
      <w:r w:rsidR="0017258F">
        <w:rPr>
          <w:b/>
          <w:color w:val="1F497D" w:themeColor="text2"/>
          <w:sz w:val="24"/>
          <w:szCs w:val="24"/>
        </w:rPr>
        <w:t xml:space="preserve"> is</w:t>
      </w:r>
      <w:r w:rsidR="00DB6E66">
        <w:rPr>
          <w:b/>
          <w:color w:val="1F497D" w:themeColor="text2"/>
          <w:sz w:val="24"/>
          <w:szCs w:val="24"/>
        </w:rPr>
        <w:t xml:space="preserve"> </w:t>
      </w:r>
      <w:r w:rsidR="0071305C">
        <w:rPr>
          <w:b/>
          <w:color w:val="1F497D" w:themeColor="text2"/>
          <w:sz w:val="24"/>
          <w:szCs w:val="24"/>
        </w:rPr>
        <w:t>98%</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p>
    <w:p w:rsidR="00AE6A79" w:rsidRDefault="00AE6A79" w:rsidP="008C3B23">
      <w:pPr>
        <w:spacing w:after="0" w:line="240" w:lineRule="auto"/>
        <w:ind w:left="720"/>
        <w:jc w:val="both"/>
        <w:rPr>
          <w:b/>
          <w:color w:val="1F497D" w:themeColor="text2"/>
          <w:sz w:val="28"/>
          <w:szCs w:val="28"/>
        </w:rPr>
      </w:pPr>
    </w:p>
    <w:p w:rsidR="00972C76" w:rsidRDefault="00972C76" w:rsidP="008C3B23">
      <w:pPr>
        <w:spacing w:after="0" w:line="240" w:lineRule="auto"/>
        <w:ind w:left="720"/>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71305C" w:rsidP="00DD3101">
            <w:pPr>
              <w:jc w:val="center"/>
              <w:rPr>
                <w:color w:val="000000" w:themeColor="text1"/>
              </w:rPr>
            </w:pPr>
            <w:r>
              <w:rPr>
                <w:color w:val="000000" w:themeColor="text1"/>
              </w:rPr>
              <w:t>14</w:t>
            </w:r>
          </w:p>
        </w:tc>
        <w:tc>
          <w:tcPr>
            <w:tcW w:w="1985" w:type="dxa"/>
          </w:tcPr>
          <w:p w:rsidR="003C273F" w:rsidRDefault="0071305C" w:rsidP="003C273F">
            <w:pPr>
              <w:jc w:val="center"/>
              <w:rPr>
                <w:color w:val="000000" w:themeColor="text1"/>
              </w:rPr>
            </w:pPr>
            <w:r>
              <w:rPr>
                <w:color w:val="000000" w:themeColor="text1"/>
              </w:rPr>
              <w:t>97</w:t>
            </w:r>
          </w:p>
        </w:tc>
        <w:tc>
          <w:tcPr>
            <w:tcW w:w="1134" w:type="dxa"/>
          </w:tcPr>
          <w:p w:rsidR="00DC686C" w:rsidRDefault="0071305C" w:rsidP="00DD3101">
            <w:pPr>
              <w:jc w:val="center"/>
              <w:rPr>
                <w:color w:val="000000" w:themeColor="text1"/>
              </w:rPr>
            </w:pPr>
            <w:r>
              <w:rPr>
                <w:color w:val="000000" w:themeColor="text1"/>
              </w:rPr>
              <w:t>47</w:t>
            </w:r>
          </w:p>
        </w:tc>
        <w:tc>
          <w:tcPr>
            <w:tcW w:w="2693" w:type="dxa"/>
          </w:tcPr>
          <w:p w:rsidR="00DC686C" w:rsidRDefault="0071305C" w:rsidP="00B87B53">
            <w:pPr>
              <w:jc w:val="center"/>
              <w:rPr>
                <w:color w:val="000000" w:themeColor="text1"/>
              </w:rPr>
            </w:pPr>
            <w:r>
              <w:rPr>
                <w:color w:val="000000" w:themeColor="text1"/>
              </w:rPr>
              <w:t>60</w:t>
            </w:r>
          </w:p>
        </w:tc>
        <w:tc>
          <w:tcPr>
            <w:tcW w:w="992" w:type="dxa"/>
          </w:tcPr>
          <w:p w:rsidR="00DC686C" w:rsidRDefault="0071305C" w:rsidP="00DD3101">
            <w:pPr>
              <w:jc w:val="center"/>
              <w:rPr>
                <w:color w:val="000000" w:themeColor="text1"/>
              </w:rPr>
            </w:pPr>
            <w:r>
              <w:rPr>
                <w:color w:val="000000" w:themeColor="text1"/>
              </w:rPr>
              <w:t>271</w:t>
            </w:r>
          </w:p>
        </w:tc>
        <w:tc>
          <w:tcPr>
            <w:tcW w:w="1985" w:type="dxa"/>
          </w:tcPr>
          <w:p w:rsidR="00DC686C" w:rsidRDefault="0071305C" w:rsidP="00DD3101">
            <w:pPr>
              <w:jc w:val="center"/>
              <w:rPr>
                <w:color w:val="000000" w:themeColor="text1"/>
              </w:rPr>
            </w:pPr>
            <w:r>
              <w:rPr>
                <w:color w:val="000000" w:themeColor="text1"/>
              </w:rPr>
              <w:t>772</w:t>
            </w:r>
          </w:p>
        </w:tc>
      </w:tr>
    </w:tbl>
    <w:p w:rsidR="00C800A4" w:rsidRDefault="00C800A4" w:rsidP="00C800A4">
      <w:pPr>
        <w:spacing w:after="0" w:line="240" w:lineRule="auto"/>
        <w:jc w:val="both"/>
        <w:rPr>
          <w:color w:val="000000" w:themeColor="text1"/>
        </w:rPr>
      </w:pPr>
    </w:p>
    <w:p w:rsidR="00DC686C" w:rsidRDefault="0071305C" w:rsidP="008C3B23">
      <w:pPr>
        <w:spacing w:after="0" w:line="240" w:lineRule="auto"/>
        <w:ind w:left="720"/>
        <w:jc w:val="both"/>
        <w:rPr>
          <w:color w:val="000000" w:themeColor="text1"/>
        </w:rPr>
      </w:pPr>
      <w:r>
        <w:rPr>
          <w:noProof/>
          <w:lang w:eastAsia="en-GB"/>
        </w:rPr>
        <w:drawing>
          <wp:inline distT="0" distB="0" distL="0" distR="0" wp14:anchorId="22AE25C6" wp14:editId="2D27FA9D">
            <wp:extent cx="6326372" cy="2860158"/>
            <wp:effectExtent l="0" t="0" r="1778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551F66">
        <w:rPr>
          <w:b/>
          <w:color w:val="1F497D" w:themeColor="text2"/>
          <w:sz w:val="24"/>
          <w:szCs w:val="24"/>
        </w:rPr>
        <w:t>September</w:t>
      </w:r>
      <w:r w:rsidR="00B87B53">
        <w:rPr>
          <w:b/>
          <w:color w:val="1F497D" w:themeColor="text2"/>
          <w:sz w:val="24"/>
          <w:szCs w:val="24"/>
        </w:rPr>
        <w:t xml:space="preserve"> </w:t>
      </w:r>
      <w:r w:rsidR="008D3AC3">
        <w:rPr>
          <w:b/>
          <w:color w:val="1F497D" w:themeColor="text2"/>
          <w:sz w:val="24"/>
          <w:szCs w:val="24"/>
        </w:rPr>
        <w:t xml:space="preserve">is </w:t>
      </w:r>
      <w:r w:rsidR="0071305C">
        <w:rPr>
          <w:b/>
          <w:color w:val="1F497D" w:themeColor="text2"/>
          <w:sz w:val="24"/>
          <w:szCs w:val="24"/>
        </w:rPr>
        <w:t>82.7</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71305C" w:rsidP="00DD3101">
            <w:pPr>
              <w:jc w:val="center"/>
              <w:rPr>
                <w:color w:val="000000" w:themeColor="text1"/>
              </w:rPr>
            </w:pPr>
            <w:r>
              <w:rPr>
                <w:color w:val="000000" w:themeColor="text1"/>
              </w:rPr>
              <w:t>1</w:t>
            </w:r>
          </w:p>
        </w:tc>
        <w:tc>
          <w:tcPr>
            <w:tcW w:w="1985" w:type="dxa"/>
          </w:tcPr>
          <w:p w:rsidR="00DC686C" w:rsidRDefault="0071305C" w:rsidP="00DD3101">
            <w:pPr>
              <w:jc w:val="center"/>
              <w:rPr>
                <w:color w:val="000000" w:themeColor="text1"/>
              </w:rPr>
            </w:pPr>
            <w:r>
              <w:rPr>
                <w:color w:val="000000" w:themeColor="text1"/>
              </w:rPr>
              <w:t>0</w:t>
            </w:r>
          </w:p>
        </w:tc>
        <w:tc>
          <w:tcPr>
            <w:tcW w:w="1134" w:type="dxa"/>
          </w:tcPr>
          <w:p w:rsidR="00DC686C" w:rsidRDefault="0071305C" w:rsidP="00DD3101">
            <w:pPr>
              <w:jc w:val="center"/>
              <w:rPr>
                <w:color w:val="000000" w:themeColor="text1"/>
              </w:rPr>
            </w:pPr>
            <w:r>
              <w:rPr>
                <w:color w:val="000000" w:themeColor="text1"/>
              </w:rPr>
              <w:t>1</w:t>
            </w:r>
          </w:p>
        </w:tc>
        <w:tc>
          <w:tcPr>
            <w:tcW w:w="2693" w:type="dxa"/>
          </w:tcPr>
          <w:p w:rsidR="00DC686C" w:rsidRDefault="0071305C" w:rsidP="00DD3101">
            <w:pPr>
              <w:jc w:val="center"/>
              <w:rPr>
                <w:color w:val="000000" w:themeColor="text1"/>
              </w:rPr>
            </w:pPr>
            <w:r>
              <w:rPr>
                <w:color w:val="000000" w:themeColor="text1"/>
              </w:rPr>
              <w:t>4</w:t>
            </w:r>
          </w:p>
        </w:tc>
        <w:tc>
          <w:tcPr>
            <w:tcW w:w="992" w:type="dxa"/>
          </w:tcPr>
          <w:p w:rsidR="00DC686C" w:rsidRDefault="0071305C" w:rsidP="00DD3101">
            <w:pPr>
              <w:jc w:val="center"/>
              <w:rPr>
                <w:color w:val="000000" w:themeColor="text1"/>
              </w:rPr>
            </w:pPr>
            <w:r>
              <w:rPr>
                <w:color w:val="000000" w:themeColor="text1"/>
              </w:rPr>
              <w:t>22</w:t>
            </w:r>
          </w:p>
        </w:tc>
        <w:tc>
          <w:tcPr>
            <w:tcW w:w="1985" w:type="dxa"/>
          </w:tcPr>
          <w:p w:rsidR="00DC686C" w:rsidRDefault="0071305C" w:rsidP="00DD3101">
            <w:pPr>
              <w:jc w:val="center"/>
              <w:rPr>
                <w:color w:val="000000" w:themeColor="text1"/>
              </w:rPr>
            </w:pPr>
            <w:r>
              <w:rPr>
                <w:color w:val="000000" w:themeColor="text1"/>
              </w:rPr>
              <w:t>265</w:t>
            </w:r>
          </w:p>
        </w:tc>
      </w:tr>
    </w:tbl>
    <w:p w:rsidR="00DC686C" w:rsidRDefault="00DC686C" w:rsidP="00DC686C">
      <w:pPr>
        <w:spacing w:after="0" w:line="240" w:lineRule="auto"/>
        <w:ind w:left="720"/>
        <w:jc w:val="both"/>
        <w:rPr>
          <w:color w:val="000000" w:themeColor="text1"/>
        </w:rPr>
      </w:pPr>
    </w:p>
    <w:p w:rsidR="00DC686C" w:rsidRDefault="0071305C" w:rsidP="00DC686C">
      <w:pPr>
        <w:spacing w:after="0" w:line="240" w:lineRule="auto"/>
        <w:ind w:left="720"/>
        <w:jc w:val="both"/>
        <w:rPr>
          <w:color w:val="000000" w:themeColor="text1"/>
        </w:rPr>
      </w:pPr>
      <w:r>
        <w:rPr>
          <w:noProof/>
          <w:lang w:eastAsia="en-GB"/>
        </w:rPr>
        <w:drawing>
          <wp:inline distT="0" distB="0" distL="0" distR="0" wp14:anchorId="0E7B714D" wp14:editId="5FAE68C7">
            <wp:extent cx="6326372" cy="2817628"/>
            <wp:effectExtent l="0" t="0" r="1778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551F66" w:rsidP="00DC686C">
      <w:pPr>
        <w:spacing w:after="0" w:line="240" w:lineRule="auto"/>
        <w:ind w:left="720"/>
        <w:jc w:val="both"/>
        <w:rPr>
          <w:b/>
          <w:color w:val="1F497D" w:themeColor="text2"/>
          <w:sz w:val="24"/>
          <w:szCs w:val="24"/>
        </w:rPr>
      </w:pPr>
      <w:r>
        <w:rPr>
          <w:b/>
          <w:color w:val="1F497D" w:themeColor="text2"/>
          <w:sz w:val="24"/>
          <w:szCs w:val="24"/>
        </w:rPr>
        <w:t>September</w:t>
      </w:r>
      <w:r w:rsidR="00842B34">
        <w:rPr>
          <w:b/>
          <w:color w:val="1F497D" w:themeColor="text2"/>
          <w:sz w:val="24"/>
          <w:szCs w:val="24"/>
        </w:rPr>
        <w:t xml:space="preserve"> </w:t>
      </w:r>
      <w:r w:rsidR="008D3AC3">
        <w:rPr>
          <w:b/>
          <w:color w:val="1F497D" w:themeColor="text2"/>
          <w:sz w:val="24"/>
          <w:szCs w:val="24"/>
        </w:rPr>
        <w:t xml:space="preserve">is </w:t>
      </w:r>
      <w:r w:rsidR="0071305C">
        <w:rPr>
          <w:b/>
          <w:color w:val="1F497D" w:themeColor="text2"/>
          <w:sz w:val="24"/>
          <w:szCs w:val="24"/>
        </w:rPr>
        <w:t>97.95</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71305C" w:rsidP="00DD3101">
            <w:pPr>
              <w:jc w:val="center"/>
              <w:rPr>
                <w:color w:val="000000" w:themeColor="text1"/>
              </w:rPr>
            </w:pPr>
            <w:r>
              <w:rPr>
                <w:color w:val="000000" w:themeColor="text1"/>
              </w:rPr>
              <w:t>8</w:t>
            </w:r>
          </w:p>
        </w:tc>
        <w:tc>
          <w:tcPr>
            <w:tcW w:w="1985" w:type="dxa"/>
          </w:tcPr>
          <w:p w:rsidR="00DC686C" w:rsidRDefault="0071305C" w:rsidP="00DD3101">
            <w:pPr>
              <w:jc w:val="center"/>
              <w:rPr>
                <w:color w:val="000000" w:themeColor="text1"/>
              </w:rPr>
            </w:pPr>
            <w:r>
              <w:rPr>
                <w:color w:val="000000" w:themeColor="text1"/>
              </w:rPr>
              <w:t>7</w:t>
            </w:r>
          </w:p>
        </w:tc>
        <w:tc>
          <w:tcPr>
            <w:tcW w:w="1134" w:type="dxa"/>
          </w:tcPr>
          <w:p w:rsidR="00DC686C" w:rsidRDefault="0071305C" w:rsidP="00DD3101">
            <w:pPr>
              <w:jc w:val="center"/>
              <w:rPr>
                <w:color w:val="000000" w:themeColor="text1"/>
              </w:rPr>
            </w:pPr>
            <w:r>
              <w:rPr>
                <w:color w:val="000000" w:themeColor="text1"/>
              </w:rPr>
              <w:t>5</w:t>
            </w:r>
          </w:p>
        </w:tc>
        <w:tc>
          <w:tcPr>
            <w:tcW w:w="2693" w:type="dxa"/>
          </w:tcPr>
          <w:p w:rsidR="00DC686C" w:rsidRDefault="0071305C" w:rsidP="00DD3101">
            <w:pPr>
              <w:jc w:val="center"/>
              <w:rPr>
                <w:color w:val="000000" w:themeColor="text1"/>
              </w:rPr>
            </w:pPr>
            <w:r>
              <w:rPr>
                <w:color w:val="000000" w:themeColor="text1"/>
              </w:rPr>
              <w:t>8</w:t>
            </w:r>
          </w:p>
        </w:tc>
        <w:tc>
          <w:tcPr>
            <w:tcW w:w="992" w:type="dxa"/>
          </w:tcPr>
          <w:p w:rsidR="00DC686C" w:rsidRDefault="0071305C" w:rsidP="00DD3101">
            <w:pPr>
              <w:jc w:val="center"/>
              <w:rPr>
                <w:color w:val="000000" w:themeColor="text1"/>
              </w:rPr>
            </w:pPr>
            <w:r>
              <w:rPr>
                <w:color w:val="000000" w:themeColor="text1"/>
              </w:rPr>
              <w:t>112</w:t>
            </w:r>
          </w:p>
        </w:tc>
        <w:tc>
          <w:tcPr>
            <w:tcW w:w="1985" w:type="dxa"/>
          </w:tcPr>
          <w:p w:rsidR="00DC686C" w:rsidRDefault="0071305C" w:rsidP="00DD3101">
            <w:pPr>
              <w:jc w:val="center"/>
              <w:rPr>
                <w:color w:val="000000" w:themeColor="text1"/>
              </w:rPr>
            </w:pPr>
            <w:r>
              <w:rPr>
                <w:color w:val="000000" w:themeColor="text1"/>
              </w:rPr>
              <w:t>549</w:t>
            </w:r>
          </w:p>
        </w:tc>
      </w:tr>
    </w:tbl>
    <w:p w:rsidR="00DC686C" w:rsidRDefault="00DC686C" w:rsidP="00DC686C">
      <w:pPr>
        <w:spacing w:after="0" w:line="240" w:lineRule="auto"/>
        <w:ind w:left="720"/>
        <w:jc w:val="both"/>
        <w:rPr>
          <w:color w:val="000000" w:themeColor="text1"/>
        </w:rPr>
      </w:pPr>
    </w:p>
    <w:p w:rsidR="00DC686C" w:rsidRDefault="0071305C" w:rsidP="00DC686C">
      <w:pPr>
        <w:spacing w:after="0" w:line="240" w:lineRule="auto"/>
        <w:ind w:left="720"/>
        <w:jc w:val="both"/>
        <w:rPr>
          <w:color w:val="000000" w:themeColor="text1"/>
        </w:rPr>
      </w:pPr>
      <w:r>
        <w:rPr>
          <w:noProof/>
          <w:lang w:eastAsia="en-GB"/>
        </w:rPr>
        <w:drawing>
          <wp:inline distT="0" distB="0" distL="0" distR="0" wp14:anchorId="0F640F1C" wp14:editId="1A340F99">
            <wp:extent cx="6390167" cy="2881423"/>
            <wp:effectExtent l="0" t="0" r="1079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551F66">
        <w:rPr>
          <w:b/>
          <w:color w:val="1F497D" w:themeColor="text2"/>
          <w:sz w:val="24"/>
          <w:szCs w:val="24"/>
        </w:rPr>
        <w:t>September</w:t>
      </w:r>
      <w:r w:rsidR="008D3AC3">
        <w:rPr>
          <w:b/>
          <w:color w:val="1F497D" w:themeColor="text2"/>
          <w:sz w:val="24"/>
          <w:szCs w:val="24"/>
        </w:rPr>
        <w:t xml:space="preserve"> is </w:t>
      </w:r>
      <w:r w:rsidR="0071305C">
        <w:rPr>
          <w:b/>
          <w:color w:val="1F497D" w:themeColor="text2"/>
          <w:sz w:val="24"/>
          <w:szCs w:val="24"/>
        </w:rPr>
        <w:t>95.9</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71305C" w:rsidP="00DD3101">
            <w:pPr>
              <w:jc w:val="center"/>
              <w:rPr>
                <w:color w:val="000000" w:themeColor="text1"/>
              </w:rPr>
            </w:pPr>
            <w:r>
              <w:rPr>
                <w:color w:val="000000" w:themeColor="text1"/>
              </w:rPr>
              <w:t>6</w:t>
            </w:r>
          </w:p>
        </w:tc>
        <w:tc>
          <w:tcPr>
            <w:tcW w:w="1985" w:type="dxa"/>
          </w:tcPr>
          <w:p w:rsidR="00203BEE" w:rsidRDefault="0071305C" w:rsidP="00DD3101">
            <w:pPr>
              <w:jc w:val="center"/>
              <w:rPr>
                <w:color w:val="000000" w:themeColor="text1"/>
              </w:rPr>
            </w:pPr>
            <w:r>
              <w:rPr>
                <w:color w:val="000000" w:themeColor="text1"/>
              </w:rPr>
              <w:t>16</w:t>
            </w:r>
          </w:p>
        </w:tc>
        <w:tc>
          <w:tcPr>
            <w:tcW w:w="1134" w:type="dxa"/>
          </w:tcPr>
          <w:p w:rsidR="00203BEE" w:rsidRDefault="0071305C" w:rsidP="00DD3101">
            <w:pPr>
              <w:jc w:val="center"/>
              <w:rPr>
                <w:color w:val="000000" w:themeColor="text1"/>
              </w:rPr>
            </w:pPr>
            <w:r>
              <w:rPr>
                <w:color w:val="000000" w:themeColor="text1"/>
              </w:rPr>
              <w:t>4</w:t>
            </w:r>
          </w:p>
        </w:tc>
        <w:tc>
          <w:tcPr>
            <w:tcW w:w="2693" w:type="dxa"/>
          </w:tcPr>
          <w:p w:rsidR="00203BEE" w:rsidRDefault="0071305C" w:rsidP="00DD3101">
            <w:pPr>
              <w:jc w:val="center"/>
              <w:rPr>
                <w:color w:val="000000" w:themeColor="text1"/>
              </w:rPr>
            </w:pPr>
            <w:r>
              <w:rPr>
                <w:color w:val="000000" w:themeColor="text1"/>
              </w:rPr>
              <w:t>25</w:t>
            </w:r>
          </w:p>
        </w:tc>
        <w:tc>
          <w:tcPr>
            <w:tcW w:w="992" w:type="dxa"/>
          </w:tcPr>
          <w:p w:rsidR="00203BEE" w:rsidRDefault="0071305C" w:rsidP="00DD3101">
            <w:pPr>
              <w:jc w:val="center"/>
              <w:rPr>
                <w:color w:val="000000" w:themeColor="text1"/>
              </w:rPr>
            </w:pPr>
            <w:r>
              <w:rPr>
                <w:color w:val="000000" w:themeColor="text1"/>
              </w:rPr>
              <w:t>169</w:t>
            </w:r>
          </w:p>
        </w:tc>
        <w:tc>
          <w:tcPr>
            <w:tcW w:w="1985" w:type="dxa"/>
          </w:tcPr>
          <w:p w:rsidR="00203BEE" w:rsidRDefault="0071305C" w:rsidP="00DD3101">
            <w:pPr>
              <w:jc w:val="center"/>
              <w:rPr>
                <w:color w:val="000000" w:themeColor="text1"/>
              </w:rPr>
            </w:pPr>
            <w:r>
              <w:rPr>
                <w:color w:val="000000" w:themeColor="text1"/>
              </w:rPr>
              <w:t>1075</w:t>
            </w:r>
          </w:p>
        </w:tc>
      </w:tr>
    </w:tbl>
    <w:p w:rsidR="00203BEE" w:rsidRDefault="00203BEE" w:rsidP="00203BEE">
      <w:pPr>
        <w:spacing w:after="0" w:line="240" w:lineRule="auto"/>
        <w:ind w:left="720"/>
        <w:jc w:val="both"/>
        <w:rPr>
          <w:color w:val="000000" w:themeColor="text1"/>
        </w:rPr>
      </w:pPr>
    </w:p>
    <w:p w:rsidR="00203BEE" w:rsidRDefault="0071305C" w:rsidP="00203BEE">
      <w:pPr>
        <w:spacing w:after="0" w:line="240" w:lineRule="auto"/>
        <w:ind w:left="720"/>
        <w:jc w:val="both"/>
        <w:rPr>
          <w:color w:val="000000" w:themeColor="text1"/>
        </w:rPr>
      </w:pPr>
      <w:r>
        <w:rPr>
          <w:noProof/>
          <w:lang w:eastAsia="en-GB"/>
        </w:rPr>
        <w:drawing>
          <wp:inline distT="0" distB="0" distL="0" distR="0" wp14:anchorId="4BB25972" wp14:editId="6ADC4460">
            <wp:extent cx="6390167" cy="2817627"/>
            <wp:effectExtent l="0" t="0" r="10795" b="209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551F66">
        <w:rPr>
          <w:b/>
          <w:color w:val="1F497D" w:themeColor="text2"/>
          <w:sz w:val="24"/>
          <w:szCs w:val="24"/>
        </w:rPr>
        <w:t>September</w:t>
      </w:r>
      <w:r w:rsidR="008D3AC3">
        <w:rPr>
          <w:b/>
          <w:color w:val="1F497D" w:themeColor="text2"/>
          <w:sz w:val="24"/>
          <w:szCs w:val="24"/>
        </w:rPr>
        <w:t xml:space="preserve"> is </w:t>
      </w:r>
      <w:r w:rsidR="0071305C">
        <w:rPr>
          <w:b/>
          <w:color w:val="1F497D" w:themeColor="text2"/>
          <w:sz w:val="24"/>
          <w:szCs w:val="24"/>
        </w:rPr>
        <w:t>96.06</w:t>
      </w:r>
      <w:bookmarkStart w:id="0" w:name="_GoBack"/>
      <w:bookmarkEnd w:id="0"/>
      <w:r w:rsidR="00743210">
        <w:rPr>
          <w:b/>
          <w:color w:val="1F497D" w:themeColor="text2"/>
          <w:sz w:val="24"/>
          <w:szCs w:val="24"/>
        </w:rPr>
        <w:t>%</w:t>
      </w:r>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D1928"/>
    <w:rsid w:val="000E4EE0"/>
    <w:rsid w:val="000F6F97"/>
    <w:rsid w:val="001655D0"/>
    <w:rsid w:val="0017069A"/>
    <w:rsid w:val="0017258F"/>
    <w:rsid w:val="00194668"/>
    <w:rsid w:val="001B3CF8"/>
    <w:rsid w:val="001E2791"/>
    <w:rsid w:val="00203BEE"/>
    <w:rsid w:val="00314C27"/>
    <w:rsid w:val="003947D5"/>
    <w:rsid w:val="00396CD2"/>
    <w:rsid w:val="003C2277"/>
    <w:rsid w:val="003C273F"/>
    <w:rsid w:val="00412C22"/>
    <w:rsid w:val="004C6DB9"/>
    <w:rsid w:val="004D2928"/>
    <w:rsid w:val="004E3738"/>
    <w:rsid w:val="00551F66"/>
    <w:rsid w:val="00565423"/>
    <w:rsid w:val="005850D1"/>
    <w:rsid w:val="00613387"/>
    <w:rsid w:val="006169A0"/>
    <w:rsid w:val="00692684"/>
    <w:rsid w:val="006A31F6"/>
    <w:rsid w:val="006C2377"/>
    <w:rsid w:val="006E276F"/>
    <w:rsid w:val="0071305C"/>
    <w:rsid w:val="00743210"/>
    <w:rsid w:val="0075532B"/>
    <w:rsid w:val="007A6357"/>
    <w:rsid w:val="008028A6"/>
    <w:rsid w:val="008169E8"/>
    <w:rsid w:val="00842B34"/>
    <w:rsid w:val="008A0ABA"/>
    <w:rsid w:val="008B26C2"/>
    <w:rsid w:val="008C3B23"/>
    <w:rsid w:val="008D3AC3"/>
    <w:rsid w:val="008F23C9"/>
    <w:rsid w:val="0093384F"/>
    <w:rsid w:val="00972C76"/>
    <w:rsid w:val="009D1CF6"/>
    <w:rsid w:val="009E28CB"/>
    <w:rsid w:val="009F5434"/>
    <w:rsid w:val="00AE6A79"/>
    <w:rsid w:val="00B2017A"/>
    <w:rsid w:val="00B87B53"/>
    <w:rsid w:val="00B944EC"/>
    <w:rsid w:val="00BA4603"/>
    <w:rsid w:val="00BB3FE5"/>
    <w:rsid w:val="00C17B26"/>
    <w:rsid w:val="00C224F7"/>
    <w:rsid w:val="00C6470B"/>
    <w:rsid w:val="00C800A4"/>
    <w:rsid w:val="00C83E62"/>
    <w:rsid w:val="00D03B7B"/>
    <w:rsid w:val="00D14429"/>
    <w:rsid w:val="00D93370"/>
    <w:rsid w:val="00DA5D98"/>
    <w:rsid w:val="00DB6E66"/>
    <w:rsid w:val="00DC60CC"/>
    <w:rsid w:val="00DC686C"/>
    <w:rsid w:val="00DD3101"/>
    <w:rsid w:val="00E76B3D"/>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 - September 2017</a:t>
            </a:r>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trend!$BG$40:$BG$45</c:f>
              <c:numCache>
                <c:formatCode>General</c:formatCode>
                <c:ptCount val="6"/>
                <c:pt idx="0">
                  <c:v>1955</c:v>
                </c:pt>
                <c:pt idx="1">
                  <c:v>549</c:v>
                </c:pt>
                <c:pt idx="2">
                  <c:v>18</c:v>
                </c:pt>
                <c:pt idx="3">
                  <c:v>8</c:v>
                </c:pt>
                <c:pt idx="4">
                  <c:v>11</c:v>
                </c:pt>
                <c:pt idx="5">
                  <c:v>10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 Dept - September 2017</a:t>
            </a:r>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trend!$BG$15:$BG$20</c:f>
              <c:numCache>
                <c:formatCode>General</c:formatCode>
                <c:ptCount val="6"/>
                <c:pt idx="0">
                  <c:v>772</c:v>
                </c:pt>
                <c:pt idx="1">
                  <c:v>271</c:v>
                </c:pt>
                <c:pt idx="2">
                  <c:v>60</c:v>
                </c:pt>
                <c:pt idx="3">
                  <c:v>47</c:v>
                </c:pt>
                <c:pt idx="4">
                  <c:v>97</c:v>
                </c:pt>
                <c:pt idx="5">
                  <c:v>14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a:t>
            </a:r>
            <a:r>
              <a:rPr lang="en-GB" baseline="0"/>
              <a:t> &amp; Family Results - Maternity - September 2017</a:t>
            </a:r>
            <a:endParaRPr lang="en-GB"/>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trend!$BG$65:$BG$70</c:f>
              <c:numCache>
                <c:formatCode>General</c:formatCode>
                <c:ptCount val="6"/>
                <c:pt idx="0">
                  <c:v>265</c:v>
                </c:pt>
                <c:pt idx="1">
                  <c:v>22</c:v>
                </c:pt>
                <c:pt idx="2">
                  <c:v>4</c:v>
                </c:pt>
                <c:pt idx="3">
                  <c:v>1</c:v>
                </c:pt>
                <c:pt idx="4">
                  <c:v>0</c:v>
                </c:pt>
                <c:pt idx="5">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 - September 2017</a:t>
            </a:r>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trend!$BG$111:$BG$116</c:f>
              <c:numCache>
                <c:formatCode>General</c:formatCode>
                <c:ptCount val="6"/>
                <c:pt idx="0">
                  <c:v>549</c:v>
                </c:pt>
                <c:pt idx="1">
                  <c:v>112</c:v>
                </c:pt>
                <c:pt idx="2">
                  <c:v>8</c:v>
                </c:pt>
                <c:pt idx="3">
                  <c:v>5</c:v>
                </c:pt>
                <c:pt idx="4">
                  <c:v>7</c:v>
                </c:pt>
                <c:pt idx="5">
                  <c:v>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 September 2017</a:t>
            </a:r>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trend!$BG$137:$BG$142</c:f>
              <c:numCache>
                <c:formatCode>General</c:formatCode>
                <c:ptCount val="6"/>
                <c:pt idx="0">
                  <c:v>1075</c:v>
                </c:pt>
                <c:pt idx="1">
                  <c:v>169</c:v>
                </c:pt>
                <c:pt idx="2">
                  <c:v>25</c:v>
                </c:pt>
                <c:pt idx="3">
                  <c:v>4</c:v>
                </c:pt>
                <c:pt idx="4">
                  <c:v>16</c:v>
                </c:pt>
                <c:pt idx="5">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DF65-4E5C-428A-AFCC-E9B9DCDE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16</cp:revision>
  <cp:lastPrinted>2016-12-20T09:56:00Z</cp:lastPrinted>
  <dcterms:created xsi:type="dcterms:W3CDTF">2017-02-15T11:37:00Z</dcterms:created>
  <dcterms:modified xsi:type="dcterms:W3CDTF">2017-10-11T13:30:00Z</dcterms:modified>
</cp:coreProperties>
</file>